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EB" w:rsidRPr="009E2AEB" w:rsidRDefault="009E2AEB" w:rsidP="003B2474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>Howard E. Katz</w:t>
      </w:r>
    </w:p>
    <w:p w:rsidR="009E2AEB" w:rsidRDefault="00D06451" w:rsidP="003B2474">
      <w:pPr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First Annual </w:t>
      </w:r>
      <w:r w:rsidR="003B2474">
        <w:rPr>
          <w:rFonts w:ascii="Century Gothic" w:hAnsi="Century Gothic"/>
          <w:sz w:val="20"/>
          <w:szCs w:val="20"/>
        </w:rPr>
        <w:t>S</w:t>
      </w:r>
      <w:r w:rsidR="009E2AEB" w:rsidRPr="009E2AEB">
        <w:rPr>
          <w:rFonts w:ascii="Century Gothic" w:hAnsi="Century Gothic"/>
          <w:sz w:val="20"/>
          <w:szCs w:val="20"/>
        </w:rPr>
        <w:t>ustainability</w:t>
      </w:r>
      <w:r>
        <w:rPr>
          <w:rFonts w:ascii="Century Gothic" w:hAnsi="Century Gothic"/>
          <w:sz w:val="20"/>
          <w:szCs w:val="20"/>
        </w:rPr>
        <w:t xml:space="preserve"> Conference of American Legal Educators</w:t>
      </w:r>
    </w:p>
    <w:p w:rsidR="00D06451" w:rsidRPr="009E2AEB" w:rsidRDefault="00D06451" w:rsidP="003B2474">
      <w:pPr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Sandra Day O’Connor College of Law - Arizona State University</w:t>
      </w:r>
    </w:p>
    <w:p w:rsidR="009E2AEB" w:rsidRPr="009E2AEB" w:rsidRDefault="009E2AEB" w:rsidP="003B2474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>May 8, 2015</w:t>
      </w:r>
    </w:p>
    <w:p w:rsidR="009E2AEB" w:rsidRPr="009E2AEB" w:rsidRDefault="00D837D1" w:rsidP="003B2474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7" w:history="1">
        <w:r w:rsidR="009E2AEB" w:rsidRPr="009E2AEB">
          <w:rPr>
            <w:rStyle w:val="Hyperlink"/>
            <w:rFonts w:ascii="Century Gothic" w:hAnsi="Century Gothic"/>
            <w:sz w:val="20"/>
            <w:szCs w:val="20"/>
          </w:rPr>
          <w:t>hkatz@elon.edu</w:t>
        </w:r>
      </w:hyperlink>
      <w:bookmarkStart w:id="0" w:name="_GoBack"/>
      <w:bookmarkEnd w:id="0"/>
    </w:p>
    <w:p w:rsidR="009E2AEB" w:rsidRPr="009E2AEB" w:rsidRDefault="009E2AEB">
      <w:pPr>
        <w:rPr>
          <w:rFonts w:ascii="Century Gothic" w:hAnsi="Century Gothic"/>
          <w:sz w:val="20"/>
          <w:szCs w:val="20"/>
        </w:rPr>
      </w:pPr>
    </w:p>
    <w:p w:rsidR="007A220F" w:rsidRPr="009E2AEB" w:rsidRDefault="009E2AEB">
      <w:pPr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>Frames or themes to address in teaching sustainability:</w:t>
      </w:r>
    </w:p>
    <w:p w:rsidR="009E2AEB" w:rsidRPr="009E2AEB" w:rsidRDefault="009E2AEB">
      <w:pPr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 xml:space="preserve">Time frame </w:t>
      </w:r>
    </w:p>
    <w:p w:rsidR="00A53CB7" w:rsidRPr="009E2AEB" w:rsidRDefault="009E2AEB" w:rsidP="00D06451">
      <w:pPr>
        <w:ind w:firstLine="720"/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>Sho</w:t>
      </w:r>
      <w:r w:rsidR="00A53CB7" w:rsidRPr="009E2AEB">
        <w:rPr>
          <w:rFonts w:ascii="Century Gothic" w:hAnsi="Century Gothic"/>
          <w:sz w:val="20"/>
          <w:szCs w:val="20"/>
        </w:rPr>
        <w:t>rt term</w:t>
      </w:r>
      <w:r w:rsidRPr="009E2AEB">
        <w:rPr>
          <w:rFonts w:ascii="Century Gothic" w:hAnsi="Century Gothic"/>
          <w:sz w:val="20"/>
          <w:szCs w:val="20"/>
        </w:rPr>
        <w:t>/</w:t>
      </w:r>
      <w:r w:rsidR="00A53CB7" w:rsidRPr="009E2AEB">
        <w:rPr>
          <w:rFonts w:ascii="Century Gothic" w:hAnsi="Century Gothic"/>
          <w:sz w:val="20"/>
          <w:szCs w:val="20"/>
        </w:rPr>
        <w:t>long term</w:t>
      </w:r>
    </w:p>
    <w:p w:rsidR="007A220F" w:rsidRPr="009E2AEB" w:rsidRDefault="007A220F" w:rsidP="009E2AEB">
      <w:pPr>
        <w:ind w:firstLine="720"/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>Life cycle</w:t>
      </w:r>
      <w:r w:rsidR="009E2AEB" w:rsidRPr="009E2AEB">
        <w:rPr>
          <w:rFonts w:ascii="Century Gothic" w:hAnsi="Century Gothic"/>
          <w:sz w:val="20"/>
          <w:szCs w:val="20"/>
        </w:rPr>
        <w:t xml:space="preserve"> cost</w:t>
      </w:r>
    </w:p>
    <w:p w:rsidR="00A53CB7" w:rsidRPr="009E2AEB" w:rsidRDefault="009E2AEB">
      <w:pPr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>Logic</w:t>
      </w:r>
      <w:r w:rsidR="00A53CB7" w:rsidRPr="009E2AEB">
        <w:rPr>
          <w:rFonts w:ascii="Century Gothic" w:hAnsi="Century Gothic"/>
          <w:sz w:val="20"/>
          <w:szCs w:val="20"/>
        </w:rPr>
        <w:t xml:space="preserve"> of collective action/</w:t>
      </w:r>
      <w:r w:rsidRPr="009E2AEB">
        <w:rPr>
          <w:rFonts w:ascii="Century Gothic" w:hAnsi="Century Gothic"/>
          <w:sz w:val="20"/>
          <w:szCs w:val="20"/>
        </w:rPr>
        <w:t xml:space="preserve">tragedy of the </w:t>
      </w:r>
      <w:r w:rsidR="00A53CB7" w:rsidRPr="009E2AEB">
        <w:rPr>
          <w:rFonts w:ascii="Century Gothic" w:hAnsi="Century Gothic"/>
          <w:sz w:val="20"/>
          <w:szCs w:val="20"/>
        </w:rPr>
        <w:t>commons</w:t>
      </w:r>
    </w:p>
    <w:p w:rsidR="00A53CB7" w:rsidRPr="009E2AEB" w:rsidRDefault="00A53CB7">
      <w:pPr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>Ideology</w:t>
      </w:r>
      <w:r w:rsidR="004F2C12">
        <w:rPr>
          <w:rFonts w:ascii="Century Gothic" w:hAnsi="Century Gothic"/>
          <w:sz w:val="20"/>
          <w:szCs w:val="20"/>
        </w:rPr>
        <w:t>/transcending left vs. right</w:t>
      </w:r>
      <w:r w:rsidR="009E2AEB" w:rsidRPr="009E2AEB">
        <w:rPr>
          <w:rFonts w:ascii="Century Gothic" w:hAnsi="Century Gothic"/>
          <w:sz w:val="20"/>
          <w:szCs w:val="20"/>
        </w:rPr>
        <w:t xml:space="preserve"> </w:t>
      </w:r>
    </w:p>
    <w:p w:rsidR="00E43EAD" w:rsidRPr="009E2AEB" w:rsidRDefault="007B2BDF">
      <w:pPr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>Good guys/bad guys</w:t>
      </w:r>
    </w:p>
    <w:p w:rsidR="00E43EAD" w:rsidRPr="009E2AEB" w:rsidRDefault="009E2AEB" w:rsidP="009E2AEB">
      <w:pPr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>The i</w:t>
      </w:r>
      <w:r w:rsidR="00E43EAD" w:rsidRPr="009E2AEB">
        <w:rPr>
          <w:rFonts w:ascii="Century Gothic" w:hAnsi="Century Gothic"/>
          <w:sz w:val="20"/>
          <w:szCs w:val="20"/>
        </w:rPr>
        <w:t>dyllic</w:t>
      </w:r>
      <w:r w:rsidRPr="009E2AEB">
        <w:rPr>
          <w:rFonts w:ascii="Century Gothic" w:hAnsi="Century Gothic"/>
          <w:sz w:val="20"/>
          <w:szCs w:val="20"/>
        </w:rPr>
        <w:t>, J</w:t>
      </w:r>
      <w:r w:rsidR="00E43EAD" w:rsidRPr="009E2AEB">
        <w:rPr>
          <w:rFonts w:ascii="Century Gothic" w:hAnsi="Century Gothic"/>
          <w:sz w:val="20"/>
          <w:szCs w:val="20"/>
        </w:rPr>
        <w:t>efferson</w:t>
      </w:r>
      <w:r w:rsidRPr="009E2AEB">
        <w:rPr>
          <w:rFonts w:ascii="Century Gothic" w:hAnsi="Century Gothic"/>
          <w:sz w:val="20"/>
          <w:szCs w:val="20"/>
        </w:rPr>
        <w:t>ian ideal</w:t>
      </w:r>
    </w:p>
    <w:p w:rsidR="009E2AEB" w:rsidRPr="009E2AEB" w:rsidRDefault="00E43EAD">
      <w:pPr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>Efficiency/</w:t>
      </w:r>
      <w:r w:rsidR="009E2AEB" w:rsidRPr="009E2AEB">
        <w:rPr>
          <w:rFonts w:ascii="Century Gothic" w:hAnsi="Century Gothic"/>
          <w:sz w:val="20"/>
          <w:szCs w:val="20"/>
        </w:rPr>
        <w:t>re</w:t>
      </w:r>
      <w:r w:rsidR="00D06451">
        <w:rPr>
          <w:rFonts w:ascii="Century Gothic" w:hAnsi="Century Gothic"/>
          <w:sz w:val="20"/>
          <w:szCs w:val="20"/>
        </w:rPr>
        <w:t>bound effect</w:t>
      </w:r>
    </w:p>
    <w:p w:rsidR="00E43EAD" w:rsidRPr="009E2AEB" w:rsidRDefault="00E43EAD">
      <w:pPr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ab/>
        <w:t>Induced demand</w:t>
      </w:r>
    </w:p>
    <w:p w:rsidR="00E43EAD" w:rsidRPr="009E2AEB" w:rsidRDefault="00E43EAD">
      <w:pPr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>Hidden</w:t>
      </w:r>
      <w:r w:rsidR="009E2AEB" w:rsidRPr="009E2AEB">
        <w:rPr>
          <w:rFonts w:ascii="Century Gothic" w:hAnsi="Century Gothic"/>
          <w:sz w:val="20"/>
          <w:szCs w:val="20"/>
        </w:rPr>
        <w:t xml:space="preserve"> obstacles from “other” areas of law</w:t>
      </w:r>
    </w:p>
    <w:p w:rsidR="00E43EAD" w:rsidRPr="009E2AEB" w:rsidRDefault="00E43EAD" w:rsidP="00E43EAD">
      <w:pPr>
        <w:ind w:firstLine="720"/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>Tax expenditures</w:t>
      </w:r>
    </w:p>
    <w:p w:rsidR="00E43EAD" w:rsidRPr="009E2AEB" w:rsidRDefault="009E2AEB" w:rsidP="009E2AEB">
      <w:pPr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ab/>
        <w:t>Other hidden incentives/subsidies</w:t>
      </w:r>
    </w:p>
    <w:p w:rsidR="007B2BDF" w:rsidRPr="009E2AEB" w:rsidRDefault="007B2BDF" w:rsidP="007B2BDF">
      <w:pPr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>Baselines</w:t>
      </w:r>
    </w:p>
    <w:p w:rsidR="00E43EAD" w:rsidRPr="009E2AEB" w:rsidRDefault="00E43EAD">
      <w:pPr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>Distributional effects</w:t>
      </w:r>
    </w:p>
    <w:p w:rsidR="007A7ED2" w:rsidRPr="009E2AEB" w:rsidRDefault="007A7ED2">
      <w:pPr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>Centralized vs. decentralized</w:t>
      </w:r>
      <w:r w:rsidR="009E2AEB" w:rsidRPr="009E2AEB">
        <w:rPr>
          <w:rFonts w:ascii="Century Gothic" w:hAnsi="Century Gothic"/>
          <w:sz w:val="20"/>
          <w:szCs w:val="20"/>
        </w:rPr>
        <w:t xml:space="preserve"> solutions</w:t>
      </w:r>
    </w:p>
    <w:p w:rsidR="009E2AEB" w:rsidRPr="009E2AEB" w:rsidRDefault="009E2AEB">
      <w:pPr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ab/>
        <w:t>Decentralized political decision-making</w:t>
      </w:r>
    </w:p>
    <w:p w:rsidR="009E2AEB" w:rsidRPr="009E2AEB" w:rsidRDefault="009E2AEB" w:rsidP="009E2AEB">
      <w:pPr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>Symbolic vs. real action</w:t>
      </w:r>
    </w:p>
    <w:p w:rsidR="00E43EAD" w:rsidRPr="009E2AEB" w:rsidRDefault="00E43EAD">
      <w:pPr>
        <w:rPr>
          <w:rFonts w:ascii="Century Gothic" w:hAnsi="Century Gothic"/>
          <w:sz w:val="20"/>
          <w:szCs w:val="20"/>
        </w:rPr>
      </w:pPr>
      <w:r w:rsidRPr="009E2AEB">
        <w:rPr>
          <w:rFonts w:ascii="Century Gothic" w:hAnsi="Century Gothic"/>
          <w:sz w:val="20"/>
          <w:szCs w:val="20"/>
        </w:rPr>
        <w:t>Intellectual honesty</w:t>
      </w:r>
      <w:r w:rsidR="007A7ED2" w:rsidRPr="009E2AEB">
        <w:rPr>
          <w:rFonts w:ascii="Century Gothic" w:hAnsi="Century Gothic"/>
          <w:sz w:val="20"/>
          <w:szCs w:val="20"/>
        </w:rPr>
        <w:t xml:space="preserve"> and complexity</w:t>
      </w:r>
      <w:r w:rsidRPr="009E2AEB">
        <w:rPr>
          <w:rFonts w:ascii="Century Gothic" w:hAnsi="Century Gothic"/>
          <w:sz w:val="20"/>
          <w:szCs w:val="20"/>
        </w:rPr>
        <w:t xml:space="preserve"> vs. doing something</w:t>
      </w:r>
    </w:p>
    <w:p w:rsidR="00E43EAD" w:rsidRPr="00E43EAD" w:rsidRDefault="00E43EAD" w:rsidP="009E2AEB">
      <w:pPr>
        <w:rPr>
          <w:rFonts w:ascii="Century Gothic" w:hAnsi="Century Gothic"/>
        </w:rPr>
      </w:pPr>
      <w:r w:rsidRPr="00E43EAD">
        <w:rPr>
          <w:rFonts w:ascii="Century Gothic" w:hAnsi="Century Gothic"/>
        </w:rPr>
        <w:tab/>
      </w:r>
    </w:p>
    <w:sectPr w:rsidR="00E43EAD" w:rsidRPr="00E43E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D1" w:rsidRDefault="00D837D1" w:rsidP="00425CAA">
      <w:pPr>
        <w:spacing w:after="0" w:line="240" w:lineRule="auto"/>
      </w:pPr>
      <w:r>
        <w:separator/>
      </w:r>
    </w:p>
  </w:endnote>
  <w:endnote w:type="continuationSeparator" w:id="0">
    <w:p w:rsidR="00D837D1" w:rsidRDefault="00D837D1" w:rsidP="0042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025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5CAA" w:rsidRDefault="00D837D1">
        <w:pPr>
          <w:pStyle w:val="Footer"/>
          <w:jc w:val="right"/>
        </w:pPr>
      </w:p>
    </w:sdtContent>
  </w:sdt>
  <w:p w:rsidR="00425CAA" w:rsidRDefault="00425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D1" w:rsidRDefault="00D837D1" w:rsidP="00425CAA">
      <w:pPr>
        <w:spacing w:after="0" w:line="240" w:lineRule="auto"/>
      </w:pPr>
      <w:r>
        <w:separator/>
      </w:r>
    </w:p>
  </w:footnote>
  <w:footnote w:type="continuationSeparator" w:id="0">
    <w:p w:rsidR="00D837D1" w:rsidRDefault="00D837D1" w:rsidP="00425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6A"/>
    <w:rsid w:val="00032F6A"/>
    <w:rsid w:val="00061778"/>
    <w:rsid w:val="0009789A"/>
    <w:rsid w:val="00100AC0"/>
    <w:rsid w:val="001E2C3E"/>
    <w:rsid w:val="002A7096"/>
    <w:rsid w:val="002C4DE6"/>
    <w:rsid w:val="003B2474"/>
    <w:rsid w:val="004118B0"/>
    <w:rsid w:val="00425CAA"/>
    <w:rsid w:val="0043676E"/>
    <w:rsid w:val="004374D0"/>
    <w:rsid w:val="00462518"/>
    <w:rsid w:val="004F2C12"/>
    <w:rsid w:val="00535B99"/>
    <w:rsid w:val="00550E52"/>
    <w:rsid w:val="00762F99"/>
    <w:rsid w:val="007A220F"/>
    <w:rsid w:val="007A7ED2"/>
    <w:rsid w:val="007B2BDF"/>
    <w:rsid w:val="00921F6B"/>
    <w:rsid w:val="009E2AEB"/>
    <w:rsid w:val="00A004D3"/>
    <w:rsid w:val="00A53CB7"/>
    <w:rsid w:val="00B7317C"/>
    <w:rsid w:val="00BB7BD4"/>
    <w:rsid w:val="00CB4EAD"/>
    <w:rsid w:val="00D06451"/>
    <w:rsid w:val="00D5229D"/>
    <w:rsid w:val="00D837D1"/>
    <w:rsid w:val="00E43EAD"/>
    <w:rsid w:val="00E67520"/>
    <w:rsid w:val="00F9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C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CAA"/>
  </w:style>
  <w:style w:type="paragraph" w:styleId="Footer">
    <w:name w:val="footer"/>
    <w:basedOn w:val="Normal"/>
    <w:link w:val="FooterChar"/>
    <w:uiPriority w:val="99"/>
    <w:unhideWhenUsed/>
    <w:rsid w:val="00425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CAA"/>
  </w:style>
  <w:style w:type="character" w:styleId="Hyperlink">
    <w:name w:val="Hyperlink"/>
    <w:basedOn w:val="DefaultParagraphFont"/>
    <w:uiPriority w:val="99"/>
    <w:unhideWhenUsed/>
    <w:rsid w:val="009E2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C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CAA"/>
  </w:style>
  <w:style w:type="paragraph" w:styleId="Footer">
    <w:name w:val="footer"/>
    <w:basedOn w:val="Normal"/>
    <w:link w:val="FooterChar"/>
    <w:uiPriority w:val="99"/>
    <w:unhideWhenUsed/>
    <w:rsid w:val="00425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CAA"/>
  </w:style>
  <w:style w:type="character" w:styleId="Hyperlink">
    <w:name w:val="Hyperlink"/>
    <w:basedOn w:val="DefaultParagraphFont"/>
    <w:uiPriority w:val="99"/>
    <w:unhideWhenUsed/>
    <w:rsid w:val="009E2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katz@elon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Elon University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hkatz</dc:creator>
  <cp:lastModifiedBy>hkatz</cp:lastModifiedBy>
  <cp:revision>2</cp:revision>
  <cp:lastPrinted>2015-05-06T18:44:00Z</cp:lastPrinted>
  <dcterms:created xsi:type="dcterms:W3CDTF">2015-05-06T18:45:00Z</dcterms:created>
  <dcterms:modified xsi:type="dcterms:W3CDTF">2015-05-06T18:45:00Z</dcterms:modified>
</cp:coreProperties>
</file>