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F8" w:rsidRPr="00B156F8" w:rsidRDefault="00B156F8" w:rsidP="00B156F8">
      <w:pPr>
        <w:tabs>
          <w:tab w:val="left" w:pos="5850"/>
        </w:tabs>
        <w:jc w:val="center"/>
        <w:rPr>
          <w:rFonts w:ascii="Times New Roman" w:hAnsi="Times New Roman"/>
          <w:b/>
          <w:i/>
          <w:sz w:val="24"/>
          <w:szCs w:val="24"/>
        </w:rPr>
      </w:pPr>
      <w:bookmarkStart w:id="0" w:name="_GoBack"/>
      <w:bookmarkEnd w:id="0"/>
      <w:r w:rsidRPr="00B156F8">
        <w:rPr>
          <w:rFonts w:ascii="Times New Roman" w:hAnsi="Times New Roman"/>
          <w:b/>
          <w:i/>
          <w:sz w:val="24"/>
          <w:szCs w:val="24"/>
        </w:rPr>
        <w:t>Inholdings</w:t>
      </w:r>
    </w:p>
    <w:p w:rsidR="00B156F8" w:rsidRPr="00B156F8" w:rsidRDefault="00B156F8" w:rsidP="00B156F8">
      <w:pPr>
        <w:pStyle w:val="AuthorName1-Articles"/>
        <w:widowControl/>
        <w:tabs>
          <w:tab w:val="left" w:pos="720"/>
        </w:tabs>
        <w:spacing w:before="0" w:after="0" w:line="240" w:lineRule="auto"/>
        <w:contextualSpacing/>
        <w:outlineLvl w:val="0"/>
        <w:rPr>
          <w:rFonts w:ascii="Times New Roman" w:hAnsi="Times New Roman"/>
          <w:sz w:val="24"/>
          <w:szCs w:val="24"/>
        </w:rPr>
      </w:pPr>
    </w:p>
    <w:p w:rsidR="00B156F8" w:rsidRPr="00B156F8" w:rsidRDefault="00B156F8" w:rsidP="00B156F8">
      <w:pPr>
        <w:pStyle w:val="AuthorName1-Articles"/>
        <w:widowControl/>
        <w:tabs>
          <w:tab w:val="left" w:pos="720"/>
        </w:tabs>
        <w:spacing w:before="0" w:after="0" w:line="240" w:lineRule="auto"/>
        <w:contextualSpacing/>
        <w:outlineLvl w:val="0"/>
        <w:rPr>
          <w:rFonts w:ascii="Times New Roman" w:hAnsi="Times New Roman"/>
          <w:sz w:val="24"/>
          <w:szCs w:val="24"/>
        </w:rPr>
      </w:pPr>
      <w:r w:rsidRPr="00B156F8">
        <w:rPr>
          <w:rFonts w:ascii="Times New Roman" w:hAnsi="Times New Roman"/>
          <w:sz w:val="24"/>
          <w:szCs w:val="24"/>
        </w:rPr>
        <w:t>Kellen Zale</w:t>
      </w:r>
    </w:p>
    <w:p w:rsidR="00B156F8" w:rsidRPr="00B156F8" w:rsidRDefault="00B156F8" w:rsidP="00B156F8">
      <w:pPr>
        <w:jc w:val="center"/>
        <w:rPr>
          <w:rFonts w:ascii="Times New Roman" w:hAnsi="Times New Roman"/>
          <w:sz w:val="24"/>
          <w:szCs w:val="24"/>
        </w:rPr>
      </w:pPr>
      <w:r w:rsidRPr="00B156F8">
        <w:rPr>
          <w:rFonts w:ascii="Times New Roman" w:hAnsi="Times New Roman"/>
          <w:sz w:val="24"/>
          <w:szCs w:val="24"/>
        </w:rPr>
        <w:t>Associate Professor, University of Houston Law Center</w:t>
      </w:r>
    </w:p>
    <w:p w:rsidR="00B156F8" w:rsidRPr="00B156F8" w:rsidRDefault="00B156F8" w:rsidP="00B156F8">
      <w:pPr>
        <w:jc w:val="center"/>
        <w:rPr>
          <w:rFonts w:ascii="Times New Roman" w:hAnsi="Times New Roman"/>
          <w:sz w:val="24"/>
          <w:szCs w:val="24"/>
        </w:rPr>
      </w:pPr>
    </w:p>
    <w:p w:rsidR="00B156F8" w:rsidRPr="00B156F8" w:rsidRDefault="00B156F8" w:rsidP="00B156F8">
      <w:pPr>
        <w:jc w:val="center"/>
        <w:rPr>
          <w:rFonts w:ascii="Times New Roman" w:hAnsi="Times New Roman"/>
          <w:b/>
          <w:i/>
          <w:sz w:val="24"/>
          <w:szCs w:val="24"/>
        </w:rPr>
      </w:pPr>
      <w:r w:rsidRPr="00B156F8">
        <w:rPr>
          <w:rFonts w:ascii="Times New Roman" w:hAnsi="Times New Roman"/>
          <w:b/>
          <w:i/>
          <w:sz w:val="24"/>
          <w:szCs w:val="24"/>
        </w:rPr>
        <w:t>ABSTRACT</w:t>
      </w:r>
    </w:p>
    <w:p w:rsidR="00B156F8" w:rsidRPr="00B156F8" w:rsidRDefault="00B156F8" w:rsidP="00B156F8">
      <w:pPr>
        <w:jc w:val="left"/>
        <w:rPr>
          <w:rFonts w:ascii="Times New Roman" w:eastAsia="Times New Roman" w:hAnsi="Times New Roman"/>
          <w:color w:val="auto"/>
          <w:sz w:val="24"/>
          <w:szCs w:val="24"/>
        </w:rPr>
      </w:pPr>
    </w:p>
    <w:p w:rsidR="00B156F8" w:rsidRPr="00B156F8" w:rsidRDefault="00B156F8" w:rsidP="00B156F8">
      <w:pPr>
        <w:ind w:firstLine="720"/>
        <w:jc w:val="left"/>
        <w:rPr>
          <w:rStyle w:val="acopre"/>
          <w:rFonts w:ascii="Times New Roman" w:eastAsia="Times New Roman" w:hAnsi="Times New Roman"/>
          <w:color w:val="auto"/>
          <w:sz w:val="24"/>
          <w:szCs w:val="24"/>
        </w:rPr>
      </w:pPr>
      <w:r w:rsidRPr="00B156F8">
        <w:rPr>
          <w:rFonts w:ascii="Times New Roman" w:eastAsia="Times New Roman" w:hAnsi="Times New Roman"/>
          <w:color w:val="auto"/>
          <w:sz w:val="24"/>
          <w:szCs w:val="24"/>
        </w:rPr>
        <w:t>Inholdings</w:t>
      </w:r>
      <w:r w:rsidRPr="00B156F8">
        <w:rPr>
          <w:rStyle w:val="acopre"/>
          <w:rFonts w:ascii="Times New Roman" w:eastAsia="Times New Roman" w:hAnsi="Times New Roman"/>
          <w:color w:val="auto"/>
          <w:sz w:val="24"/>
          <w:szCs w:val="24"/>
        </w:rPr>
        <w:t>—</w:t>
      </w:r>
      <w:r w:rsidRPr="00B156F8">
        <w:rPr>
          <w:rFonts w:ascii="Times New Roman" w:eastAsia="Times New Roman" w:hAnsi="Times New Roman"/>
          <w:color w:val="auto"/>
          <w:sz w:val="24"/>
          <w:szCs w:val="24"/>
        </w:rPr>
        <w:t>non-federal property surrounded by federally managed public lands</w:t>
      </w:r>
      <w:r w:rsidRPr="00B156F8">
        <w:rPr>
          <w:rStyle w:val="acopre"/>
          <w:rFonts w:ascii="Times New Roman" w:eastAsia="Times New Roman" w:hAnsi="Times New Roman"/>
          <w:color w:val="auto"/>
          <w:sz w:val="24"/>
          <w:szCs w:val="24"/>
        </w:rPr>
        <w:t>—</w:t>
      </w:r>
      <w:r w:rsidRPr="00B156F8">
        <w:rPr>
          <w:rFonts w:ascii="Times New Roman" w:eastAsia="Times New Roman" w:hAnsi="Times New Roman"/>
          <w:color w:val="auto"/>
          <w:sz w:val="24"/>
          <w:szCs w:val="24"/>
        </w:rPr>
        <w:t xml:space="preserve">are a legal and cartographic oddity. Despite being physically surrounded by public lands managed pursuant to federal law, </w:t>
      </w:r>
      <w:r w:rsidRPr="00B156F8">
        <w:rPr>
          <w:rFonts w:ascii="Times New Roman" w:hAnsi="Times New Roman"/>
          <w:color w:val="auto"/>
          <w:sz w:val="24"/>
          <w:szCs w:val="24"/>
        </w:rPr>
        <w:t xml:space="preserve">inholdings are not subject to federal regulation. Instead, inholdings fall under the jurisdiction of </w:t>
      </w:r>
      <w:r w:rsidRPr="00B156F8">
        <w:rPr>
          <w:rFonts w:ascii="Times New Roman" w:eastAsia="Times New Roman" w:hAnsi="Times New Roman"/>
          <w:color w:val="auto"/>
          <w:sz w:val="24"/>
          <w:szCs w:val="24"/>
        </w:rPr>
        <w:t xml:space="preserve">the local government within whose boundaries they are located, and can be developed like any other private property, subject only to local land use regulations and other generally applicable laws. As a result, inholdings pose significant challenges to public lands management, ranging from access and boundary disputes to adverse impacts on wildlife, habitat, watersheds, and cultural and historic resources. </w:t>
      </w:r>
    </w:p>
    <w:p w:rsidR="00B156F8" w:rsidRPr="00B156F8" w:rsidRDefault="00B156F8" w:rsidP="00B156F8">
      <w:pPr>
        <w:ind w:firstLine="720"/>
        <w:jc w:val="left"/>
        <w:rPr>
          <w:rStyle w:val="acopre"/>
          <w:rFonts w:ascii="Times New Roman" w:eastAsia="Times New Roman" w:hAnsi="Times New Roman"/>
          <w:color w:val="auto"/>
          <w:sz w:val="24"/>
          <w:szCs w:val="24"/>
        </w:rPr>
      </w:pPr>
    </w:p>
    <w:p w:rsidR="00B156F8" w:rsidRPr="00B156F8" w:rsidRDefault="00B156F8" w:rsidP="00B156F8">
      <w:pPr>
        <w:ind w:firstLine="720"/>
        <w:rPr>
          <w:rFonts w:ascii="Times New Roman" w:hAnsi="Times New Roman"/>
          <w:color w:val="auto"/>
          <w:sz w:val="24"/>
          <w:szCs w:val="24"/>
        </w:rPr>
      </w:pPr>
      <w:r w:rsidRPr="00B156F8">
        <w:rPr>
          <w:rFonts w:ascii="Times New Roman" w:hAnsi="Times New Roman"/>
          <w:color w:val="auto"/>
          <w:sz w:val="24"/>
          <w:szCs w:val="24"/>
        </w:rPr>
        <w:t xml:space="preserve">This presentation (based on my forthcoming article in the </w:t>
      </w:r>
      <w:r w:rsidRPr="00B156F8">
        <w:rPr>
          <w:rFonts w:ascii="Times New Roman" w:hAnsi="Times New Roman"/>
          <w:i/>
          <w:sz w:val="24"/>
          <w:szCs w:val="24"/>
        </w:rPr>
        <w:t>Harvard Environmental Law Review</w:t>
      </w:r>
      <w:r w:rsidRPr="00B156F8">
        <w:rPr>
          <w:rFonts w:ascii="Times New Roman" w:hAnsi="Times New Roman"/>
          <w:sz w:val="24"/>
          <w:szCs w:val="24"/>
        </w:rPr>
        <w:t xml:space="preserve">) </w:t>
      </w:r>
      <w:r w:rsidRPr="00B156F8">
        <w:rPr>
          <w:rFonts w:ascii="Times New Roman" w:hAnsi="Times New Roman"/>
          <w:color w:val="auto"/>
          <w:sz w:val="24"/>
          <w:szCs w:val="24"/>
        </w:rPr>
        <w:t xml:space="preserve">develops a structural account of the law of inholdings that has been missing from legal scholarship. It begins </w:t>
      </w:r>
      <w:r>
        <w:rPr>
          <w:rFonts w:ascii="Times New Roman" w:hAnsi="Times New Roman"/>
          <w:color w:val="auto"/>
          <w:sz w:val="24"/>
          <w:szCs w:val="24"/>
        </w:rPr>
        <w:t>with</w:t>
      </w:r>
      <w:r w:rsidRPr="00B156F8">
        <w:rPr>
          <w:rFonts w:ascii="Times New Roman" w:hAnsi="Times New Roman"/>
          <w:color w:val="auto"/>
          <w:sz w:val="24"/>
          <w:szCs w:val="24"/>
        </w:rPr>
        <w:t xml:space="preserve"> a descriptive analysis of </w:t>
      </w:r>
      <w:r w:rsidRPr="00B156F8">
        <w:rPr>
          <w:rFonts w:ascii="Times New Roman" w:hAnsi="Times New Roman"/>
          <w:sz w:val="24"/>
          <w:szCs w:val="24"/>
        </w:rPr>
        <w:t xml:space="preserve">what inholdings are, why they matter, and the legal challenges they present. It then turns to unpacking </w:t>
      </w:r>
      <w:r w:rsidRPr="00B156F8">
        <w:rPr>
          <w:rFonts w:ascii="Times New Roman" w:hAnsi="Times New Roman"/>
          <w:color w:val="auto"/>
          <w:sz w:val="24"/>
          <w:szCs w:val="24"/>
        </w:rPr>
        <w:t>the structural infirmities in local governance of inholdings and limitations of various federal and private law approaches to inholdings. Finally, I consider</w:t>
      </w:r>
      <w:r w:rsidRPr="00B156F8">
        <w:rPr>
          <w:rStyle w:val="xs1"/>
          <w:rFonts w:ascii="Times New Roman" w:eastAsia="Times New Roman" w:hAnsi="Times New Roman"/>
          <w:color w:val="auto"/>
          <w:sz w:val="24"/>
          <w:szCs w:val="24"/>
        </w:rPr>
        <w:t xml:space="preserve"> what local governments can do to narrow this governance gap and offer </w:t>
      </w:r>
      <w:r w:rsidRPr="00B156F8">
        <w:rPr>
          <w:rFonts w:ascii="Times New Roman" w:hAnsi="Times New Roman"/>
          <w:sz w:val="24"/>
          <w:szCs w:val="24"/>
        </w:rPr>
        <w:t>several concrete policy proposals to incentivize local governments to deploy their land use authority over inholdings in ways that align with</w:t>
      </w:r>
      <w:r w:rsidRPr="00B156F8">
        <w:rPr>
          <w:rStyle w:val="acopre"/>
          <w:rFonts w:ascii="Times New Roman" w:eastAsia="Times New Roman" w:hAnsi="Times New Roman"/>
          <w:color w:val="auto"/>
          <w:sz w:val="24"/>
          <w:szCs w:val="24"/>
        </w:rPr>
        <w:t>—</w:t>
      </w:r>
      <w:r w:rsidRPr="00B156F8">
        <w:rPr>
          <w:rFonts w:ascii="Times New Roman" w:hAnsi="Times New Roman"/>
          <w:sz w:val="24"/>
          <w:szCs w:val="24"/>
        </w:rPr>
        <w:t>or at least are less detrimental to</w:t>
      </w:r>
      <w:r w:rsidRPr="00B156F8">
        <w:rPr>
          <w:rStyle w:val="acopre"/>
          <w:rFonts w:ascii="Times New Roman" w:eastAsia="Times New Roman" w:hAnsi="Times New Roman"/>
          <w:color w:val="auto"/>
          <w:sz w:val="24"/>
          <w:szCs w:val="24"/>
        </w:rPr>
        <w:t>—</w:t>
      </w:r>
      <w:r w:rsidRPr="00B156F8">
        <w:rPr>
          <w:rFonts w:ascii="Times New Roman" w:hAnsi="Times New Roman"/>
          <w:sz w:val="24"/>
          <w:szCs w:val="24"/>
        </w:rPr>
        <w:t>surrounding public lands management</w:t>
      </w:r>
      <w:r w:rsidRPr="00B156F8">
        <w:rPr>
          <w:rStyle w:val="xs1"/>
          <w:rFonts w:ascii="Times New Roman" w:eastAsia="Times New Roman" w:hAnsi="Times New Roman"/>
          <w:color w:val="auto"/>
          <w:sz w:val="24"/>
          <w:szCs w:val="24"/>
        </w:rPr>
        <w:t>.</w:t>
      </w:r>
    </w:p>
    <w:p w:rsidR="00B156F8" w:rsidRPr="00B156F8" w:rsidRDefault="00B156F8" w:rsidP="00B156F8">
      <w:pPr>
        <w:ind w:firstLine="720"/>
        <w:rPr>
          <w:rFonts w:ascii="Times New Roman" w:hAnsi="Times New Roman"/>
          <w:color w:val="auto"/>
          <w:sz w:val="24"/>
          <w:szCs w:val="24"/>
        </w:rPr>
      </w:pPr>
    </w:p>
    <w:p w:rsidR="00B156F8" w:rsidRPr="00B156F8" w:rsidRDefault="00B156F8" w:rsidP="00B156F8">
      <w:pPr>
        <w:ind w:firstLine="720"/>
        <w:rPr>
          <w:rFonts w:ascii="Times New Roman" w:hAnsi="Times New Roman"/>
          <w:sz w:val="24"/>
          <w:szCs w:val="24"/>
        </w:rPr>
      </w:pPr>
      <w:r w:rsidRPr="00B156F8">
        <w:rPr>
          <w:rFonts w:ascii="Times New Roman" w:hAnsi="Times New Roman"/>
          <w:sz w:val="24"/>
          <w:szCs w:val="24"/>
        </w:rPr>
        <w:t>An analysis of inholdings is long overdue and highly relevant. During the past two years, with the pandemic limiting much of American life, visitation to public lands surged, as did property values of nearby private property—including inholdings. As a result, acquisition of inholdings has become significantly more expensive, making it critical to understand the structural constraints and strategic advantages of local land use regulation. At stake are not only the values associated with our public lands</w:t>
      </w:r>
      <w:r w:rsidRPr="00B156F8">
        <w:rPr>
          <w:rStyle w:val="acopre"/>
          <w:rFonts w:ascii="Times New Roman" w:hAnsi="Times New Roman"/>
          <w:sz w:val="24"/>
          <w:szCs w:val="24"/>
        </w:rPr>
        <w:t xml:space="preserve">, </w:t>
      </w:r>
      <w:r w:rsidRPr="00B156F8">
        <w:rPr>
          <w:rFonts w:ascii="Times New Roman" w:hAnsi="Times New Roman"/>
          <w:sz w:val="24"/>
          <w:szCs w:val="24"/>
        </w:rPr>
        <w:t xml:space="preserve">but also a more nuanced understanding of how heterogeneous landscapes can be managed to achieve land use goals </w:t>
      </w:r>
      <w:r>
        <w:rPr>
          <w:rFonts w:ascii="Times New Roman" w:hAnsi="Times New Roman"/>
          <w:sz w:val="24"/>
          <w:szCs w:val="24"/>
        </w:rPr>
        <w:t>transcending</w:t>
      </w:r>
      <w:r w:rsidRPr="00B156F8">
        <w:rPr>
          <w:rFonts w:ascii="Times New Roman" w:hAnsi="Times New Roman"/>
          <w:sz w:val="24"/>
          <w:szCs w:val="24"/>
        </w:rPr>
        <w:t xml:space="preserve"> legal boundaries.</w:t>
      </w:r>
    </w:p>
    <w:p w:rsidR="00B156F8" w:rsidRDefault="00B156F8" w:rsidP="00B156F8">
      <w:pPr>
        <w:ind w:firstLine="720"/>
        <w:rPr>
          <w:color w:val="auto"/>
          <w:sz w:val="22"/>
          <w:szCs w:val="22"/>
        </w:rPr>
      </w:pPr>
    </w:p>
    <w:p w:rsidR="00FF54F7" w:rsidRDefault="00FF54F7"/>
    <w:sectPr w:rsidR="00FF54F7" w:rsidSect="00311C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6F8" w:rsidRDefault="00B156F8" w:rsidP="00B156F8">
      <w:r>
        <w:separator/>
      </w:r>
    </w:p>
  </w:endnote>
  <w:endnote w:type="continuationSeparator" w:id="0">
    <w:p w:rsidR="00B156F8" w:rsidRDefault="00B156F8" w:rsidP="00B1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6F8" w:rsidRDefault="00B156F8" w:rsidP="00B156F8">
      <w:r>
        <w:separator/>
      </w:r>
    </w:p>
  </w:footnote>
  <w:footnote w:type="continuationSeparator" w:id="0">
    <w:p w:rsidR="00B156F8" w:rsidRDefault="00B156F8" w:rsidP="00B1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F8"/>
    <w:rsid w:val="000262DF"/>
    <w:rsid w:val="00311C34"/>
    <w:rsid w:val="005652D2"/>
    <w:rsid w:val="00B156F8"/>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43083BC-024A-4511-B3FC-4997AC48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imes New Roman"/>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6F8"/>
    <w:pPr>
      <w:jc w:val="both"/>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Spacing added,tab removed)"/>
    <w:basedOn w:val="Normal"/>
    <w:link w:val="FootnoteTextChar"/>
    <w:autoRedefine/>
    <w:uiPriority w:val="99"/>
    <w:qFormat/>
    <w:rsid w:val="000262DF"/>
    <w:pPr>
      <w:contextualSpacing/>
    </w:pPr>
    <w:rPr>
      <w:sz w:val="22"/>
      <w:szCs w:val="22"/>
    </w:rPr>
  </w:style>
  <w:style w:type="character" w:customStyle="1" w:styleId="FootnoteTextChar">
    <w:name w:val="Footnote Text Char"/>
    <w:aliases w:val="Footnote Text (Spacing added Char,tab removed) Char"/>
    <w:basedOn w:val="DefaultParagraphFont"/>
    <w:link w:val="FootnoteText"/>
    <w:uiPriority w:val="99"/>
    <w:rsid w:val="000262DF"/>
  </w:style>
  <w:style w:type="character" w:customStyle="1" w:styleId="xs1">
    <w:name w:val="x_s1"/>
    <w:basedOn w:val="DefaultParagraphFont"/>
    <w:rsid w:val="00B156F8"/>
  </w:style>
  <w:style w:type="character" w:customStyle="1" w:styleId="acopre">
    <w:name w:val="acopre"/>
    <w:basedOn w:val="DefaultParagraphFont"/>
    <w:rsid w:val="00B156F8"/>
  </w:style>
  <w:style w:type="paragraph" w:customStyle="1" w:styleId="AuthorName1-Articles">
    <w:name w:val="_AuthorName1-Articles"/>
    <w:basedOn w:val="Normal"/>
    <w:next w:val="Normal"/>
    <w:qFormat/>
    <w:rsid w:val="00B156F8"/>
    <w:pPr>
      <w:keepNext/>
      <w:widowControl w:val="0"/>
      <w:suppressLineNumbers/>
      <w:suppressAutoHyphens/>
      <w:spacing w:before="440" w:after="240" w:line="260" w:lineRule="exact"/>
      <w:jc w:val="center"/>
    </w:pPr>
    <w:rPr>
      <w:i/>
      <w:sz w:val="22"/>
    </w:rPr>
  </w:style>
  <w:style w:type="character" w:styleId="FootnoteReference">
    <w:name w:val="footnote reference"/>
    <w:basedOn w:val="DefaultParagraphFont"/>
    <w:uiPriority w:val="99"/>
    <w:rsid w:val="00B15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Zale</dc:creator>
  <cp:keywords/>
  <dc:description/>
  <cp:lastModifiedBy>Sarah Watson (Student)</cp:lastModifiedBy>
  <cp:revision>2</cp:revision>
  <cp:lastPrinted>2022-01-04T21:46:00Z</cp:lastPrinted>
  <dcterms:created xsi:type="dcterms:W3CDTF">2022-01-04T21:47:00Z</dcterms:created>
  <dcterms:modified xsi:type="dcterms:W3CDTF">2022-01-04T21:47:00Z</dcterms:modified>
</cp:coreProperties>
</file>